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inorHAnsi"/>
          <w:sz w:val="44"/>
          <w:szCs w:val="44"/>
        </w:rPr>
      </w:pPr>
      <w:r>
        <w:rPr>
          <w:rFonts w:asciiTheme="majorEastAsia" w:hAnsiTheme="majorEastAsia" w:eastAsiaTheme="majorEastAsia" w:cstheme="minorHAnsi"/>
          <w:sz w:val="44"/>
          <w:szCs w:val="44"/>
        </w:rPr>
        <w:t>技术方案内容大纲</w:t>
      </w:r>
    </w:p>
    <w:p>
      <w:pPr>
        <w:pStyle w:val="8"/>
        <w:numPr>
          <w:ilvl w:val="0"/>
          <w:numId w:val="1"/>
        </w:numPr>
        <w:ind w:firstLineChars="0"/>
      </w:pPr>
      <w:r>
        <w:rPr>
          <w:rFonts w:hint="eastAsia"/>
        </w:rPr>
        <w:t>系统架构</w:t>
      </w:r>
    </w:p>
    <w:p>
      <w:pPr>
        <w:pStyle w:val="8"/>
        <w:numPr>
          <w:ilvl w:val="0"/>
          <w:numId w:val="2"/>
        </w:numPr>
        <w:ind w:firstLineChars="0"/>
      </w:pPr>
      <w:r>
        <w:rPr>
          <w:rFonts w:hint="eastAsia"/>
        </w:rPr>
        <w:t>系统概述（包括但不限于说明系统名称、有哪些功能模块、提供哪些服务、如何部署、行情会用于哪些方面等）</w:t>
      </w:r>
    </w:p>
    <w:p>
      <w:pPr>
        <w:pStyle w:val="8"/>
        <w:numPr>
          <w:ilvl w:val="0"/>
          <w:numId w:val="2"/>
        </w:numPr>
        <w:ind w:firstLineChars="0"/>
      </w:pPr>
      <w:r>
        <w:t>系统架构图</w:t>
      </w:r>
    </w:p>
    <w:p>
      <w:pPr>
        <w:pStyle w:val="8"/>
        <w:numPr>
          <w:ilvl w:val="0"/>
          <w:numId w:val="2"/>
        </w:numPr>
        <w:ind w:firstLineChars="0"/>
      </w:pPr>
      <w:r>
        <w:t>系统网络拓扑图</w:t>
      </w:r>
    </w:p>
    <w:p>
      <w:pPr>
        <w:pStyle w:val="8"/>
        <w:numPr>
          <w:ilvl w:val="0"/>
          <w:numId w:val="1"/>
        </w:numPr>
        <w:ind w:firstLineChars="0"/>
      </w:pPr>
      <w:r>
        <w:t>内部管理与授权</w:t>
      </w:r>
    </w:p>
    <w:p>
      <w:pPr>
        <w:pStyle w:val="8"/>
        <w:ind w:left="420" w:firstLine="0" w:firstLineChars="0"/>
      </w:pPr>
      <w:r>
        <w:t>主要对系统管理端做出描述</w:t>
      </w:r>
      <w:r>
        <w:rPr>
          <w:rFonts w:hint="eastAsia"/>
        </w:rPr>
        <w:t>，</w:t>
      </w:r>
      <w:r>
        <w:t>包括但不</w:t>
      </w:r>
      <w:r>
        <w:rPr>
          <w:rFonts w:hint="eastAsia"/>
        </w:rPr>
        <w:t>限于</w:t>
      </w:r>
      <w:r>
        <w:t>如何对内部账户登录</w:t>
      </w:r>
      <w:r>
        <w:rPr>
          <w:rFonts w:hint="eastAsia"/>
        </w:rPr>
        <w:t>、</w:t>
      </w:r>
      <w:r>
        <w:t>权限管理等方面进行管理</w:t>
      </w:r>
      <w:r>
        <w:rPr>
          <w:rFonts w:hint="eastAsia"/>
        </w:rPr>
        <w:t>、</w:t>
      </w:r>
      <w:r>
        <w:t>授权</w:t>
      </w:r>
      <w:r>
        <w:rPr>
          <w:rFonts w:hint="eastAsia"/>
        </w:rPr>
        <w:t>、记录。</w:t>
      </w:r>
    </w:p>
    <w:p>
      <w:pPr>
        <w:pStyle w:val="8"/>
        <w:numPr>
          <w:ilvl w:val="0"/>
          <w:numId w:val="1"/>
        </w:numPr>
        <w:ind w:firstLineChars="0"/>
      </w:pPr>
      <w:r>
        <w:t>信息安全措施</w:t>
      </w:r>
    </w:p>
    <w:p>
      <w:pPr>
        <w:pStyle w:val="8"/>
        <w:ind w:left="420" w:firstLine="0" w:firstLineChars="0"/>
      </w:pPr>
      <w:r>
        <w:t>主要对系统安全性做出描述</w:t>
      </w:r>
      <w:r>
        <w:rPr>
          <w:rFonts w:hint="eastAsia"/>
        </w:rPr>
        <w:t>，</w:t>
      </w:r>
      <w:r>
        <w:t>包括但不限于如何使用数据</w:t>
      </w:r>
      <w:r>
        <w:rPr>
          <w:rFonts w:hint="eastAsia"/>
        </w:rPr>
        <w:t>，</w:t>
      </w:r>
      <w:r>
        <w:t>如何保障行情数据的安全</w:t>
      </w:r>
      <w:r>
        <w:rPr>
          <w:rFonts w:hint="eastAsia"/>
        </w:rPr>
        <w:t>（不被他人转发等）。</w:t>
      </w:r>
    </w:p>
    <w:p>
      <w:pPr>
        <w:pStyle w:val="8"/>
        <w:keepNext w:val="0"/>
        <w:keepLines w:val="0"/>
        <w:pageBreakBefore w:val="0"/>
        <w:widowControl w:val="0"/>
        <w:kinsoku/>
        <w:wordWrap/>
        <w:overflowPunct/>
        <w:topLinePunct w:val="0"/>
        <w:autoSpaceDE/>
        <w:autoSpaceDN/>
        <w:bidi w:val="0"/>
        <w:adjustRightInd/>
        <w:snapToGrid/>
        <w:spacing w:line="240" w:lineRule="auto"/>
        <w:ind w:left="420" w:firstLine="0" w:firstLineChars="0"/>
        <w:textAlignment w:val="auto"/>
        <w:rPr>
          <w:rFonts w:hint="eastAsia" w:eastAsiaTheme="minorEastAsia"/>
          <w:color w:val="FF0000"/>
          <w:lang w:eastAsia="zh-CN"/>
        </w:rPr>
      </w:pPr>
      <w:r>
        <w:rPr>
          <w:rFonts w:hint="eastAsia"/>
          <w:color w:val="FF0000"/>
        </w:rPr>
        <w:t>客户须在该部分注明</w:t>
      </w:r>
      <w:r>
        <w:rPr>
          <w:rFonts w:hint="eastAsia"/>
          <w:color w:val="FF0000"/>
          <w:lang w:eastAsia="zh-CN"/>
        </w:rPr>
        <w:t>：</w:t>
      </w:r>
    </w:p>
    <w:p>
      <w:pPr>
        <w:pStyle w:val="8"/>
        <w:keepNext w:val="0"/>
        <w:keepLines w:val="0"/>
        <w:pageBreakBefore w:val="0"/>
        <w:widowControl w:val="0"/>
        <w:kinsoku/>
        <w:wordWrap/>
        <w:overflowPunct/>
        <w:topLinePunct w:val="0"/>
        <w:autoSpaceDE/>
        <w:autoSpaceDN/>
        <w:bidi w:val="0"/>
        <w:adjustRightInd/>
        <w:snapToGrid w:val="0"/>
        <w:spacing w:line="240" w:lineRule="auto"/>
        <w:ind w:left="420" w:firstLine="0" w:firstLineChars="0"/>
        <w:textAlignment w:val="auto"/>
        <w:rPr>
          <w:rFonts w:hint="eastAsia" w:eastAsiaTheme="minorEastAsia"/>
          <w:color w:val="FF0000"/>
          <w:lang w:eastAsia="zh-CN"/>
        </w:rPr>
      </w:pPr>
      <w:r>
        <w:rPr>
          <w:rFonts w:hint="eastAsia"/>
          <w:color w:val="FF0000"/>
          <w:lang w:val="en-US" w:eastAsia="zh-CN"/>
        </w:rPr>
        <w:t>1.</w:t>
      </w:r>
      <w:r>
        <w:rPr>
          <w:rFonts w:hint="eastAsia"/>
          <w:color w:val="FF0000"/>
        </w:rPr>
        <w:t>我公司所使用的系统接收中金所level2行情数据后，仅提供给部署在中金所托管机房内的自有系统用于协议中许可的非展示型用途，不转发出中金所托管机房，不转发给关联公司、其他机构或个人。</w:t>
      </w:r>
    </w:p>
    <w:p>
      <w:pPr>
        <w:pStyle w:val="8"/>
        <w:keepNext w:val="0"/>
        <w:keepLines w:val="0"/>
        <w:pageBreakBefore w:val="0"/>
        <w:widowControl w:val="0"/>
        <w:kinsoku/>
        <w:wordWrap/>
        <w:overflowPunct/>
        <w:topLinePunct w:val="0"/>
        <w:autoSpaceDE/>
        <w:autoSpaceDN/>
        <w:bidi w:val="0"/>
        <w:adjustRightInd/>
        <w:snapToGrid w:val="0"/>
        <w:spacing w:line="240" w:lineRule="auto"/>
        <w:ind w:left="420" w:firstLine="0" w:firstLineChars="0"/>
        <w:textAlignment w:val="auto"/>
        <w:rPr>
          <w:rFonts w:hint="eastAsia"/>
          <w:color w:val="FF0000"/>
          <w:lang w:eastAsia="zh-CN"/>
        </w:rPr>
      </w:pPr>
      <w:r>
        <w:rPr>
          <w:rFonts w:hint="eastAsia"/>
          <w:color w:val="FF0000"/>
          <w:lang w:val="en-US" w:eastAsia="zh-CN"/>
        </w:rPr>
        <w:t>2.</w:t>
      </w:r>
      <w:r>
        <w:rPr>
          <w:rFonts w:hint="eastAsia"/>
          <w:color w:val="FF0000"/>
          <w:lang w:eastAsia="zh-CN"/>
        </w:rPr>
        <w:t>我公司在托管机房内使用的行情接收设备为与中金所数据有限公司签订托管服务合同的合格主体的设备，我公司已知悉不得将</w:t>
      </w:r>
      <w:bookmarkStart w:id="0" w:name="_GoBack"/>
      <w:bookmarkEnd w:id="0"/>
      <w:r>
        <w:rPr>
          <w:rFonts w:hint="eastAsia"/>
          <w:color w:val="FF0000"/>
          <w:lang w:eastAsia="zh-CN"/>
        </w:rPr>
        <w:t>自身的设备作为行情接收设备</w:t>
      </w:r>
      <w:r>
        <w:rPr>
          <w:rFonts w:hint="eastAsia"/>
          <w:color w:val="FF0000"/>
          <w:lang w:eastAsia="zh-CN"/>
        </w:rPr>
        <w:t>等规定，并承诺严格遵守相关规定。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25CB4"/>
    <w:multiLevelType w:val="multilevel"/>
    <w:tmpl w:val="23D25CB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D4510DB"/>
    <w:multiLevelType w:val="multilevel"/>
    <w:tmpl w:val="4D4510D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6A"/>
    <w:rsid w:val="00025B6A"/>
    <w:rsid w:val="0011400F"/>
    <w:rsid w:val="003C1E0C"/>
    <w:rsid w:val="005300DC"/>
    <w:rsid w:val="00793BB8"/>
    <w:rsid w:val="008013B2"/>
    <w:rsid w:val="008F73A5"/>
    <w:rsid w:val="00A37F75"/>
    <w:rsid w:val="00A62EBE"/>
    <w:rsid w:val="00AA4F15"/>
    <w:rsid w:val="00AE502D"/>
    <w:rsid w:val="00B160B1"/>
    <w:rsid w:val="00B876A7"/>
    <w:rsid w:val="00C91EB6"/>
    <w:rsid w:val="00D936EF"/>
    <w:rsid w:val="2F2BB42C"/>
    <w:rsid w:val="56FFBC0A"/>
    <w:rsid w:val="6D390DD0"/>
    <w:rsid w:val="73FD71F5"/>
    <w:rsid w:val="7FBB68E5"/>
    <w:rsid w:val="D461C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43</Words>
  <Characters>248</Characters>
  <Lines>2</Lines>
  <Paragraphs>1</Paragraphs>
  <TotalTime>0</TotalTime>
  <ScaleCrop>false</ScaleCrop>
  <LinksUpToDate>false</LinksUpToDate>
  <CharactersWithSpaces>290</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2018-01-09T07:12:00Z</dcterms:created>
  <dc:creator>Fei Yu</dc:creator>
  <cp:lastModifiedBy>guojz2</cp:lastModifiedBy>
  <dcterms:modified xsi:type="dcterms:W3CDTF">2024-09-26T09:29:02Z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ies>
</file>